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 xml:space="preserve">При этом подобные ситуации также не освобождают служащего от соблюдения антикоррупционных стандартов после их прекращения (например, </w:t>
      </w:r>
      <w:r w:rsidRPr="003B1E7D">
        <w:rPr>
          <w:rStyle w:val="FontStyle33"/>
        </w:rPr>
        <w:lastRenderedPageBreak/>
        <w:t>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 xml:space="preserve">3 Федерального </w:t>
      </w:r>
      <w:r w:rsidR="0025210A" w:rsidRPr="00157CFB">
        <w:rPr>
          <w:rStyle w:val="FontStyle33"/>
        </w:rPr>
        <w:lastRenderedPageBreak/>
        <w:t>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lastRenderedPageBreak/>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lastRenderedPageBreak/>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w:t>
      </w:r>
      <w:r w:rsidRPr="0080212B">
        <w:rPr>
          <w:rStyle w:val="FontStyle33"/>
        </w:rPr>
        <w:lastRenderedPageBreak/>
        <w:t>(принимались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w:t>
      </w:r>
      <w:r w:rsidR="0079434A" w:rsidRPr="00157CFB">
        <w:rPr>
          <w:rStyle w:val="FontStyle29"/>
          <w:b w:val="0"/>
        </w:rPr>
        <w:lastRenderedPageBreak/>
        <w:t>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lastRenderedPageBreak/>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lastRenderedPageBreak/>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и одновременного неуказания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 xml:space="preserve">приобретенного на льготных условиях </w:t>
      </w:r>
      <w:r w:rsidRPr="00FD10CC">
        <w:rPr>
          <w:rStyle w:val="FontStyle33"/>
        </w:rPr>
        <w:lastRenderedPageBreak/>
        <w:t>(по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 xml:space="preserve">цифровые финансовые активы и иные цифровые права, утилитарных цифровых прав и цифровой валюты, приобретенных в отчетном </w:t>
      </w:r>
      <w:r w:rsidR="00A04CDD">
        <w:rPr>
          <w:rStyle w:val="FontStyle33"/>
        </w:rPr>
        <w:lastRenderedPageBreak/>
        <w:t>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w:t>
      </w:r>
      <w:r w:rsidR="003F2B60" w:rsidRPr="00F65E42">
        <w:rPr>
          <w:rFonts w:ascii="Times New Roman" w:hAnsi="Times New Roman" w:cs="Times New Roman"/>
          <w:sz w:val="28"/>
          <w:szCs w:val="28"/>
        </w:rPr>
        <w:lastRenderedPageBreak/>
        <w:t xml:space="preserve">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w:t>
      </w:r>
      <w:r>
        <w:rPr>
          <w:rStyle w:val="FontStyle33"/>
        </w:rPr>
        <w:lastRenderedPageBreak/>
        <w:t>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lastRenderedPageBreak/>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CDEC0" w14:textId="77777777" w:rsidR="00AE5298" w:rsidRDefault="00AE5298">
      <w:r>
        <w:separator/>
      </w:r>
    </w:p>
  </w:endnote>
  <w:endnote w:type="continuationSeparator" w:id="0">
    <w:p w14:paraId="67680302" w14:textId="77777777" w:rsidR="00AE5298" w:rsidRDefault="00AE5298"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E68F5" w14:textId="77777777" w:rsidR="00AE5298" w:rsidRDefault="00AE5298">
      <w:r>
        <w:separator/>
      </w:r>
    </w:p>
  </w:footnote>
  <w:footnote w:type="continuationSeparator" w:id="0">
    <w:p w14:paraId="632E0F4F" w14:textId="77777777" w:rsidR="00AE5298" w:rsidRDefault="00AE5298"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9507" w14:textId="77777777" w:rsidR="00F65E42" w:rsidRDefault="00F65E4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531708"/>
      <w:docPartObj>
        <w:docPartGallery w:val="Page Numbers (Top of Page)"/>
        <w:docPartUnique/>
      </w:docPartObj>
    </w:sdtPr>
    <w:sdtEndPr/>
    <w:sdtContent>
      <w:p w14:paraId="7C1DB760" w14:textId="77777777"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6F1BF3">
          <w:rPr>
            <w:rFonts w:ascii="Times New Roman" w:hAnsi="Times New Roman" w:cs="Times New Roman"/>
            <w:noProof/>
            <w:sz w:val="28"/>
            <w:szCs w:val="28"/>
          </w:rPr>
          <w:t>7</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15:restartNumberingAfterBreak="0">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15:restartNumberingAfterBreak="0">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15:restartNumberingAfterBreak="0">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15:restartNumberingAfterBreak="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15:restartNumberingAfterBreak="0">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15:restartNumberingAfterBreak="0">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15:restartNumberingAfterBreak="0">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15:restartNumberingAfterBreak="0">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BF3"/>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298"/>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15:docId w15:val="{15209673-5614-4D2F-91EA-306989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8769E-0672-4F6C-846A-C5C4E1C5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Блохин Василий Ефимович</cp:lastModifiedBy>
  <cp:revision>3</cp:revision>
  <cp:lastPrinted>2021-12-29T13:44:00Z</cp:lastPrinted>
  <dcterms:created xsi:type="dcterms:W3CDTF">2022-06-14T14:25:00Z</dcterms:created>
  <dcterms:modified xsi:type="dcterms:W3CDTF">2022-06-14T14:25:00Z</dcterms:modified>
</cp:coreProperties>
</file>